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shd w:val="clear" w:color="auto" w:fill="FAFAFA"/>
        <w:tblCellMar>
          <w:left w:w="0" w:type="dxa"/>
          <w:right w:w="0" w:type="dxa"/>
        </w:tblCellMar>
        <w:tblLook w:val="04A0" w:firstRow="1" w:lastRow="0" w:firstColumn="1" w:lastColumn="0" w:noHBand="0" w:noVBand="1"/>
      </w:tblPr>
      <w:tblGrid>
        <w:gridCol w:w="9000"/>
      </w:tblGrid>
      <w:tr w:rsidR="007D3A8D" w:rsidRPr="007D3A8D" w14:paraId="3F299769" w14:textId="77777777" w:rsidTr="007D3A8D">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7D3A8D" w:rsidRPr="007D3A8D" w14:paraId="736EE7E0" w14:textId="77777777" w:rsidTr="007D3A8D">
              <w:tc>
                <w:tcPr>
                  <w:tcW w:w="0" w:type="auto"/>
                  <w:tcMar>
                    <w:top w:w="135" w:type="dxa"/>
                    <w:left w:w="0" w:type="dxa"/>
                    <w:bottom w:w="0" w:type="dxa"/>
                    <w:right w:w="0" w:type="dxa"/>
                  </w:tcMar>
                </w:tcPr>
                <w:p w14:paraId="26891171" w14:textId="77777777" w:rsidR="007D3A8D" w:rsidRPr="007D3A8D" w:rsidRDefault="007D3A8D" w:rsidP="007D3A8D"/>
              </w:tc>
            </w:tr>
          </w:tbl>
          <w:p w14:paraId="00C275B0" w14:textId="77777777" w:rsidR="007D3A8D" w:rsidRPr="007D3A8D" w:rsidRDefault="007D3A8D" w:rsidP="007D3A8D"/>
        </w:tc>
      </w:tr>
      <w:tr w:rsidR="007D3A8D" w:rsidRPr="007D3A8D" w14:paraId="63E9643B" w14:textId="77777777" w:rsidTr="007D3A8D">
        <w:tc>
          <w:tcPr>
            <w:tcW w:w="0" w:type="auto"/>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7D3A8D" w:rsidRPr="007D3A8D" w14:paraId="0F740F45"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7D3A8D" w:rsidRPr="007D3A8D" w14:paraId="2822ED31" w14:textId="77777777">
                    <w:tc>
                      <w:tcPr>
                        <w:tcW w:w="0" w:type="auto"/>
                        <w:tcMar>
                          <w:top w:w="0" w:type="dxa"/>
                          <w:left w:w="135" w:type="dxa"/>
                          <w:bottom w:w="0" w:type="dxa"/>
                          <w:right w:w="135" w:type="dxa"/>
                        </w:tcMar>
                        <w:hideMark/>
                      </w:tcPr>
                      <w:p w14:paraId="39A27302" w14:textId="318992AC" w:rsidR="007D3A8D" w:rsidRPr="007D3A8D" w:rsidRDefault="007D3A8D" w:rsidP="007D3A8D">
                        <w:r w:rsidRPr="007D3A8D">
                          <w:rPr>
                            <w:noProof/>
                          </w:rPr>
                          <w:drawing>
                            <wp:inline distT="0" distB="0" distL="0" distR="0" wp14:anchorId="4BB0D8BD" wp14:editId="06C0336A">
                              <wp:extent cx="5372100" cy="1112520"/>
                              <wp:effectExtent l="0" t="0" r="0" b="0"/>
                              <wp:docPr id="725097620" name="Picture 12" descr="A logo with brow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097620" name="Picture 12" descr="A logo with brown letters&#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72100" cy="1112520"/>
                                      </a:xfrm>
                                      <a:prstGeom prst="rect">
                                        <a:avLst/>
                                      </a:prstGeom>
                                      <a:noFill/>
                                      <a:ln>
                                        <a:noFill/>
                                      </a:ln>
                                    </pic:spPr>
                                  </pic:pic>
                                </a:graphicData>
                              </a:graphic>
                            </wp:inline>
                          </w:drawing>
                        </w:r>
                      </w:p>
                    </w:tc>
                  </w:tr>
                </w:tbl>
                <w:p w14:paraId="5EF245FE" w14:textId="77777777" w:rsidR="007D3A8D" w:rsidRPr="007D3A8D" w:rsidRDefault="007D3A8D" w:rsidP="007D3A8D"/>
              </w:tc>
            </w:tr>
          </w:tbl>
          <w:p w14:paraId="727A966A" w14:textId="77777777" w:rsidR="007D3A8D" w:rsidRPr="007D3A8D" w:rsidRDefault="007D3A8D" w:rsidP="007D3A8D"/>
        </w:tc>
      </w:tr>
      <w:tr w:rsidR="007D3A8D" w:rsidRPr="007D3A8D" w14:paraId="74D53C37" w14:textId="77777777" w:rsidTr="007D3A8D">
        <w:tc>
          <w:tcPr>
            <w:tcW w:w="0" w:type="auto"/>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7D3A8D" w:rsidRPr="007D3A8D" w14:paraId="092C1CD7"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7D3A8D" w:rsidRPr="007D3A8D" w14:paraId="52DBDC77" w14:textId="77777777">
                    <w:tc>
                      <w:tcPr>
                        <w:tcW w:w="0" w:type="auto"/>
                        <w:tcMar>
                          <w:top w:w="0" w:type="dxa"/>
                          <w:left w:w="270" w:type="dxa"/>
                          <w:bottom w:w="135" w:type="dxa"/>
                          <w:right w:w="270" w:type="dxa"/>
                        </w:tcMar>
                        <w:hideMark/>
                      </w:tcPr>
                      <w:p w14:paraId="0BB711DD" w14:textId="77777777" w:rsidR="007D3A8D" w:rsidRPr="007D3A8D" w:rsidRDefault="007D3A8D" w:rsidP="007D3A8D">
                        <w:pPr>
                          <w:jc w:val="center"/>
                          <w:rPr>
                            <w:b/>
                            <w:bCs/>
                          </w:rPr>
                        </w:pPr>
                        <w:r w:rsidRPr="007D3A8D">
                          <w:rPr>
                            <w:b/>
                            <w:bCs/>
                          </w:rPr>
                          <w:t>Welcome to this edition of the</w:t>
                        </w:r>
                        <w:r w:rsidRPr="007D3A8D">
                          <w:rPr>
                            <w:b/>
                            <w:bCs/>
                          </w:rPr>
                          <w:br/>
                          <w:t>DDHR Advice for the Boss</w:t>
                        </w:r>
                        <w:r w:rsidRPr="007D3A8D">
                          <w:rPr>
                            <w:b/>
                            <w:bCs/>
                          </w:rPr>
                          <w:br/>
                          <w:t>newsletter</w:t>
                        </w:r>
                      </w:p>
                      <w:p w14:paraId="09350A61" w14:textId="16810C21" w:rsidR="007D3A8D" w:rsidRPr="007D3A8D" w:rsidRDefault="007D3A8D" w:rsidP="007D3A8D">
                        <w:pPr>
                          <w:jc w:val="center"/>
                          <w:rPr>
                            <w:b/>
                            <w:bCs/>
                          </w:rPr>
                        </w:pPr>
                      </w:p>
                    </w:tc>
                  </w:tr>
                </w:tbl>
                <w:p w14:paraId="57A5A808" w14:textId="77777777" w:rsidR="007D3A8D" w:rsidRPr="007D3A8D" w:rsidRDefault="007D3A8D" w:rsidP="007D3A8D"/>
              </w:tc>
            </w:tr>
          </w:tbl>
          <w:p w14:paraId="7C5B2717"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4CA4119D"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60"/>
                  </w:tblGrid>
                  <w:tr w:rsidR="007D3A8D" w:rsidRPr="007D3A8D" w14:paraId="65DDB14D" w14:textId="77777777">
                    <w:tc>
                      <w:tcPr>
                        <w:tcW w:w="0" w:type="auto"/>
                        <w:vAlign w:val="center"/>
                        <w:hideMark/>
                      </w:tcPr>
                      <w:p w14:paraId="4FF78608" w14:textId="77777777" w:rsidR="007D3A8D" w:rsidRPr="007D3A8D" w:rsidRDefault="007D3A8D" w:rsidP="007D3A8D"/>
                    </w:tc>
                  </w:tr>
                </w:tbl>
                <w:p w14:paraId="04E7D35C" w14:textId="77777777" w:rsidR="007D3A8D" w:rsidRPr="007D3A8D" w:rsidRDefault="007D3A8D" w:rsidP="007D3A8D"/>
              </w:tc>
            </w:tr>
          </w:tbl>
          <w:p w14:paraId="4D449FC8"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23BC442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7D3A8D" w:rsidRPr="007D3A8D" w14:paraId="6B39E16F" w14:textId="77777777">
                    <w:tc>
                      <w:tcPr>
                        <w:tcW w:w="0" w:type="auto"/>
                        <w:tcMar>
                          <w:top w:w="0" w:type="dxa"/>
                          <w:left w:w="270" w:type="dxa"/>
                          <w:bottom w:w="135" w:type="dxa"/>
                          <w:right w:w="270" w:type="dxa"/>
                        </w:tcMar>
                        <w:hideMark/>
                      </w:tcPr>
                      <w:p w14:paraId="5CB29D23" w14:textId="77777777" w:rsidR="007D3A8D" w:rsidRPr="007D3A8D" w:rsidRDefault="007D3A8D" w:rsidP="007D3A8D">
                        <w:r w:rsidRPr="007D3A8D">
                          <w:t>As the dynamics of the modern workplace continue to evolve, understanding employment law has become more critical than ever for employers. From safeguarding employee rights to ensuring compliance with ever-changing regulations, the landscape of employment law is both intricate and indispensable to fostering a successful and legally sound organisation.</w:t>
                        </w:r>
                        <w:r w:rsidRPr="007D3A8D">
                          <w:br/>
                        </w:r>
                        <w:r w:rsidRPr="007D3A8D">
                          <w:br/>
                          <w:t>In this week's edition, we look at the most common breaches detected by WRC inspectors and how to rectify them after the inspection.</w:t>
                        </w:r>
                        <w:r w:rsidRPr="007D3A8D">
                          <w:br/>
                          <w:t>Employees are more aware of their rights, and the case study attached from a recent WRC adjudication shows how employers leave themselves open to complaints by not having the basic requirements in place.</w:t>
                        </w:r>
                        <w:r w:rsidRPr="007D3A8D">
                          <w:br/>
                          <w:t>Today’s employers need more than just information; they need a strategic partner in navigating the complexities of employment law.</w:t>
                        </w:r>
                        <w:r w:rsidRPr="007D3A8D">
                          <w:br/>
                        </w:r>
                        <w:r w:rsidRPr="007D3A8D">
                          <w:rPr>
                            <w:b/>
                            <w:bCs/>
                          </w:rPr>
                          <w:t>DDHR</w:t>
                        </w:r>
                        <w:r w:rsidRPr="007D3A8D">
                          <w:t> is at hand for all your employment needs.</w:t>
                        </w:r>
                      </w:p>
                      <w:p w14:paraId="4B432D9E" w14:textId="77777777" w:rsidR="007D3A8D" w:rsidRPr="007D3A8D" w:rsidRDefault="007D3A8D" w:rsidP="007D3A8D">
                        <w:r w:rsidRPr="007D3A8D">
                          <w:t> </w:t>
                        </w:r>
                      </w:p>
                    </w:tc>
                  </w:tr>
                </w:tbl>
                <w:p w14:paraId="268A53C4" w14:textId="77777777" w:rsidR="007D3A8D" w:rsidRPr="007D3A8D" w:rsidRDefault="007D3A8D" w:rsidP="007D3A8D"/>
              </w:tc>
            </w:tr>
          </w:tbl>
          <w:p w14:paraId="089007C8"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2729B9FE"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7D3A8D" w:rsidRPr="007D3A8D" w14:paraId="16102864" w14:textId="77777777">
                    <w:tc>
                      <w:tcPr>
                        <w:tcW w:w="0" w:type="auto"/>
                        <w:tcMar>
                          <w:top w:w="0" w:type="dxa"/>
                          <w:left w:w="270" w:type="dxa"/>
                          <w:bottom w:w="135" w:type="dxa"/>
                          <w:right w:w="270" w:type="dxa"/>
                        </w:tcMar>
                        <w:hideMark/>
                      </w:tcPr>
                      <w:p w14:paraId="18873530" w14:textId="6FBAFE50" w:rsidR="007D3A8D" w:rsidRPr="007D3A8D" w:rsidRDefault="007D3A8D" w:rsidP="007D3A8D">
                        <w:pPr>
                          <w:jc w:val="center"/>
                        </w:pPr>
                        <w:r w:rsidRPr="007D3A8D">
                          <w:t>Any questions you have click here</w:t>
                        </w:r>
                        <w:r w:rsidRPr="007D3A8D">
                          <w:br/>
                        </w:r>
                        <w:hyperlink r:id="rId5" w:tgtFrame="_blank" w:history="1">
                          <w:r w:rsidRPr="007D3A8D">
                            <w:rPr>
                              <w:rStyle w:val="Hyperlink"/>
                            </w:rPr>
                            <w:t>email Dermot</w:t>
                          </w:r>
                        </w:hyperlink>
                        <w:r w:rsidRPr="007D3A8D">
                          <w:t> </w:t>
                        </w:r>
                        <w:r w:rsidRPr="007D3A8D">
                          <w:br/>
                          <w:t>and we will respond accordingly</w:t>
                        </w:r>
                        <w:r w:rsidRPr="007D3A8D">
                          <w:br/>
                        </w:r>
                      </w:p>
                    </w:tc>
                  </w:tr>
                </w:tbl>
                <w:p w14:paraId="04EA2F6A" w14:textId="6494746F" w:rsidR="007D3A8D" w:rsidRPr="007D3A8D" w:rsidRDefault="007D3A8D" w:rsidP="007D3A8D">
                  <w:pPr>
                    <w:jc w:val="center"/>
                  </w:pPr>
                  <w:r w:rsidRPr="007D3A8D">
                    <w:rPr>
                      <w:noProof/>
                    </w:rPr>
                    <w:drawing>
                      <wp:inline distT="0" distB="0" distL="0" distR="0" wp14:anchorId="2E43C4BB" wp14:editId="6AAD8668">
                        <wp:extent cx="1821180" cy="1211580"/>
                        <wp:effectExtent l="0" t="0" r="7620" b="7620"/>
                        <wp:docPr id="1871028988" name="Picture 11" descr="A person with many hands and many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028988" name="Picture 11" descr="A person with many hands and many object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1180" cy="1211580"/>
                                </a:xfrm>
                                <a:prstGeom prst="rect">
                                  <a:avLst/>
                                </a:prstGeom>
                                <a:noFill/>
                                <a:ln>
                                  <a:noFill/>
                                </a:ln>
                              </pic:spPr>
                            </pic:pic>
                          </a:graphicData>
                        </a:graphic>
                      </wp:inline>
                    </w:drawing>
                  </w:r>
                </w:p>
              </w:tc>
            </w:tr>
          </w:tbl>
          <w:p w14:paraId="06D11FDE"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40FBCA10"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7D3A8D" w:rsidRPr="007D3A8D" w14:paraId="2A61868D" w14:textId="77777777">
                    <w:tc>
                      <w:tcPr>
                        <w:tcW w:w="0" w:type="auto"/>
                        <w:tcMar>
                          <w:top w:w="0" w:type="dxa"/>
                          <w:left w:w="135" w:type="dxa"/>
                          <w:bottom w:w="0" w:type="dxa"/>
                          <w:right w:w="135" w:type="dxa"/>
                        </w:tcMar>
                        <w:hideMark/>
                      </w:tcPr>
                      <w:p w14:paraId="1FC02BEB" w14:textId="49BC4F9B" w:rsidR="007D3A8D" w:rsidRPr="007D3A8D" w:rsidRDefault="007D3A8D" w:rsidP="007D3A8D"/>
                    </w:tc>
                  </w:tr>
                </w:tbl>
                <w:p w14:paraId="7A73A131" w14:textId="77777777" w:rsidR="007D3A8D" w:rsidRPr="007D3A8D" w:rsidRDefault="007D3A8D" w:rsidP="007D3A8D"/>
              </w:tc>
            </w:tr>
          </w:tbl>
          <w:p w14:paraId="1683ABFF"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19032CEE"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7D3A8D" w:rsidRPr="007D3A8D" w14:paraId="2D9168B4" w14:textId="77777777">
                    <w:tc>
                      <w:tcPr>
                        <w:tcW w:w="0" w:type="auto"/>
                        <w:tcMar>
                          <w:top w:w="0" w:type="dxa"/>
                          <w:left w:w="270" w:type="dxa"/>
                          <w:bottom w:w="135" w:type="dxa"/>
                          <w:right w:w="270" w:type="dxa"/>
                        </w:tcMar>
                        <w:hideMark/>
                      </w:tcPr>
                      <w:p w14:paraId="546A037E" w14:textId="77777777" w:rsidR="007D3A8D" w:rsidRPr="007D3A8D" w:rsidRDefault="007D3A8D" w:rsidP="007D3A8D">
                        <w:pPr>
                          <w:jc w:val="center"/>
                        </w:pPr>
                        <w:r w:rsidRPr="007D3A8D">
                          <w:rPr>
                            <w:b/>
                            <w:bCs/>
                          </w:rPr>
                          <w:lastRenderedPageBreak/>
                          <w:t>Overview of WRC Inspections</w:t>
                        </w:r>
                      </w:p>
                      <w:p w14:paraId="0214D8E9" w14:textId="77777777" w:rsidR="007D3A8D" w:rsidRPr="007D3A8D" w:rsidRDefault="007D3A8D" w:rsidP="007D3A8D">
                        <w:r w:rsidRPr="007D3A8D">
                          <w:t> </w:t>
                        </w:r>
                        <w:r w:rsidRPr="007D3A8D">
                          <w:br/>
                          <w:t>The Workplace Relations Commission (WRC) operates a policy of promoting and encouraging compliance with relevant employment legislation. Even after inspections, employers are given time to rectify breaches of employment legislation, and only in extreme situations will the WRC bring cases to the District Courts. However, the WRC will prosecute employers who employ workers without permission to work once the offence is detected.</w:t>
                        </w:r>
                        <w:r w:rsidRPr="007D3A8D">
                          <w:br/>
                          <w:t>Since the WRC began operation in 2015, most prosecutions are related to the Employment Permits Act. Employees from outside the EU require permission to work in Ireland.</w:t>
                        </w:r>
                        <w:r w:rsidRPr="007D3A8D">
                          <w:br/>
                          <w:t>Inspections are conducted both during the day and at night. Day inspections are notified at least 14 days in advance, whereas night inspections are unnotified.</w:t>
                        </w:r>
                        <w:r w:rsidRPr="007D3A8D">
                          <w:br/>
                          <w:t>Employers are advised to cooperate with inspectors following inspections and ensure compliance, which is normally accomplished without difficulties. In some cases, arrears of wages may be due to employees.</w:t>
                        </w:r>
                        <w:r w:rsidRPr="007D3A8D">
                          <w:br/>
                          <w:t>Leaving aside the Employment Permits Act contraventions, the main issues detected at inspections are as follows:</w:t>
                        </w:r>
                        <w:r w:rsidRPr="007D3A8D">
                          <w:br/>
                        </w:r>
                        <w:r w:rsidRPr="007D3A8D">
                          <w:br/>
                          <w:t>No contract of employment</w:t>
                        </w:r>
                        <w:r w:rsidRPr="007D3A8D">
                          <w:br/>
                          <w:t>Not keeping proper timesheets</w:t>
                        </w:r>
                        <w:r w:rsidRPr="007D3A8D">
                          <w:br/>
                          <w:t>Not providing payslips</w:t>
                        </w:r>
                        <w:r w:rsidRPr="007D3A8D">
                          <w:br/>
                          <w:t>No payment or incorrect payment for Public Holidays</w:t>
                        </w:r>
                        <w:r w:rsidRPr="007D3A8D">
                          <w:br/>
                          <w:t>Payment for Annual Leave (holiday pay)</w:t>
                        </w:r>
                        <w:r w:rsidRPr="007D3A8D">
                          <w:br/>
                          <w:t>No Sunday Premium</w:t>
                        </w:r>
                        <w:r w:rsidRPr="007D3A8D">
                          <w:br/>
                          <w:t> </w:t>
                        </w:r>
                      </w:p>
                      <w:p w14:paraId="74D217D7" w14:textId="77777777" w:rsidR="007D3A8D" w:rsidRPr="007D3A8D" w:rsidRDefault="007D3A8D" w:rsidP="007D3A8D">
                        <w:r w:rsidRPr="007D3A8D">
                          <w:rPr>
                            <w:b/>
                            <w:bCs/>
                            <w:u w:val="single"/>
                          </w:rPr>
                          <w:t>In 2023, 47% of employers inspected were in breach of employment legislation.</w:t>
                        </w:r>
                      </w:p>
                      <w:p w14:paraId="47D862ED" w14:textId="77777777" w:rsidR="007D3A8D" w:rsidRDefault="007D3A8D" w:rsidP="007D3A8D">
                        <w:r w:rsidRPr="007D3A8D">
                          <w:t> </w:t>
                        </w:r>
                        <w:r w:rsidRPr="007D3A8D">
                          <w:br/>
                        </w:r>
                        <w:r w:rsidRPr="007D3A8D">
                          <w:br/>
                          <w:t> </w:t>
                        </w:r>
                        <w:r w:rsidRPr="007D3A8D">
                          <w:br/>
                          <w:t xml:space="preserve">Let us analyse each of the categories of breaches in depth from a post-inspection </w:t>
                        </w:r>
                        <w:proofErr w:type="gramStart"/>
                        <w:r w:rsidRPr="007D3A8D">
                          <w:t>position, but</w:t>
                        </w:r>
                        <w:proofErr w:type="gramEnd"/>
                        <w:r w:rsidRPr="007D3A8D">
                          <w:t xml:space="preserve"> bear in mind that employees can make individual complaints to adjudicators on these issues.</w:t>
                        </w:r>
                        <w:r w:rsidRPr="007D3A8D">
                          <w:br/>
                          <w:t>All the breaches can be rectified following an inspection as follows:</w:t>
                        </w:r>
                      </w:p>
                      <w:p w14:paraId="482D8389" w14:textId="77777777" w:rsidR="007D3A8D" w:rsidRDefault="007D3A8D" w:rsidP="007D3A8D">
                        <w:r w:rsidRPr="007D3A8D">
                          <w:rPr>
                            <w:b/>
                            <w:bCs/>
                          </w:rPr>
                          <w:t>Terms of Employment</w:t>
                        </w:r>
                        <w:r w:rsidRPr="007D3A8D">
                          <w:t> – give the employee a contract and show the WRC that contracts are now in place. The inspector can only request that the contract be given to the employee, and if it is not, advise the employee that they have no written contract, and the employee can take a case to adjudication.</w:t>
                        </w:r>
                        <w:r w:rsidRPr="007D3A8D">
                          <w:br/>
                          <w:t xml:space="preserve">Slightly different from the new 5-day statement, as Inspectors could prosecute if it is not rectified within 21 days of the inspection. In all cases, employers will rectify this to avoid </w:t>
                        </w:r>
                        <w:proofErr w:type="spellStart"/>
                        <w:proofErr w:type="gramStart"/>
                        <w:r w:rsidRPr="007D3A8D">
                          <w:t>prosecution.The</w:t>
                        </w:r>
                        <w:proofErr w:type="spellEnd"/>
                        <w:proofErr w:type="gramEnd"/>
                        <w:r w:rsidRPr="007D3A8D">
                          <w:t xml:space="preserve"> best advice for employers is to put the full contract in place before the employee starts work or within 5 days of beginning work.</w:t>
                        </w:r>
                      </w:p>
                      <w:p w14:paraId="3AE991F6" w14:textId="68816C88" w:rsidR="007D3A8D" w:rsidRPr="007D3A8D" w:rsidRDefault="007D3A8D" w:rsidP="007D3A8D">
                        <w:r w:rsidRPr="007D3A8D">
                          <w:lastRenderedPageBreak/>
                          <w:br/>
                          <w:t> </w:t>
                        </w:r>
                        <w:r w:rsidRPr="007D3A8D">
                          <w:br/>
                        </w:r>
                        <w:r w:rsidRPr="007D3A8D">
                          <w:rPr>
                            <w:b/>
                            <w:bCs/>
                          </w:rPr>
                          <w:t>Timesheets</w:t>
                        </w:r>
                        <w:r w:rsidRPr="007D3A8D">
                          <w:t> – most employers have electronic means of keeping track of the employee's working hours. The employee must sign off on the hours worked and breaks taken during the week for manual records. A sample form, which is available on the WRC website, contains the necessary wording to agree on the hours worked and the breaks taken. This is particularly important as when a dispute happens in the workplace, an employee will usually claim they worked more hours and/or did not get any breaks. The onus of proof is on the employer to produce evidence in the event of a complaint.</w:t>
                        </w:r>
                        <w:r w:rsidRPr="007D3A8D">
                          <w:br/>
                          <w:t>Another situation that arises regularly is employers using electronic systems to record time, but employees do not clock out for lunch or breaks. Employers should ensure that the system allows for clocking in and out for breaks. As a further safeguard, the Terms of Employment (contract) should include wording that if an employee cannot take a break, they must make management aware of this situation. Employers can cover themselves by putting the onus back on the employee.</w:t>
                        </w:r>
                        <w:r w:rsidRPr="007D3A8D">
                          <w:br/>
                          <w:t> </w:t>
                        </w:r>
                        <w:r w:rsidRPr="007D3A8D">
                          <w:br/>
                        </w:r>
                        <w:r w:rsidRPr="007D3A8D">
                          <w:rPr>
                            <w:b/>
                            <w:bCs/>
                          </w:rPr>
                          <w:t>Payslips</w:t>
                        </w:r>
                        <w:r w:rsidRPr="007D3A8D">
                          <w:t> should be provided for every pay period. They can be given manually, emailed to the employee, or given access to them using a company portal. Employees should also be aware that their payslip is available through the ROS system on Revenue.ie provided the employer has registered the payroll, which they are required to do by law. Employers can be prosecuted for not providing payslips, but in most cases, it is normally a case that they are produced and just not given to the employee, so easy to rectify after an inspection.</w:t>
                        </w:r>
                        <w:r w:rsidRPr="007D3A8D">
                          <w:br/>
                          <w:t> </w:t>
                        </w:r>
                        <w:r w:rsidRPr="007D3A8D">
                          <w:br/>
                        </w:r>
                        <w:r w:rsidRPr="007D3A8D">
                          <w:rPr>
                            <w:b/>
                            <w:bCs/>
                          </w:rPr>
                          <w:t>Public Holidays &amp; Annual Leave</w:t>
                        </w:r>
                        <w:r w:rsidRPr="007D3A8D">
                          <w:t> – Inspectors usually request 12 months' arrears if the employer has not paid for Public Holidays or Annual Leave.</w:t>
                        </w:r>
                        <w:r w:rsidRPr="007D3A8D">
                          <w:br/>
                          <w:t> </w:t>
                        </w:r>
                        <w:r w:rsidRPr="007D3A8D">
                          <w:br/>
                        </w:r>
                        <w:r w:rsidRPr="007D3A8D">
                          <w:rPr>
                            <w:b/>
                            <w:bCs/>
                          </w:rPr>
                          <w:t>Sunday Premium</w:t>
                        </w:r>
                        <w:r w:rsidRPr="007D3A8D">
                          <w:t> – The law is clear that a premium must be paid for working on a Sunday, but the law does not specify how much or what percentage should be paid.</w:t>
                        </w:r>
                        <w:r w:rsidRPr="007D3A8D">
                          <w:br/>
                          <w:t>From an inspection point of view, inspectors need to see evidence that a rate higher than the NMW rate (currently €13.50 per hour) is paid for Sunday, so technically, €13.55 per hour must be accepted by the inspector, as they have no power to enforce Sunday Premium. Best practice would suggest paying a percentage of between 10% &amp; 25% based on decisions in cases brought to adjudication. If an employee brings a complaint relating to the premium to an adjudicator, they can set the rate based on the circumstances of the case.</w:t>
                        </w:r>
                        <w:r w:rsidRPr="007D3A8D">
                          <w:br/>
                          <w:t>Another option is for the employer to pay a rate higher than €13.50 per hour for every hour worked and to cover Sunday Premium, provided it is in the contract and is referred to as a composite rate.</w:t>
                        </w:r>
                        <w:r w:rsidRPr="007D3A8D">
                          <w:br/>
                          <w:t> </w:t>
                        </w:r>
                      </w:p>
                    </w:tc>
                  </w:tr>
                </w:tbl>
                <w:p w14:paraId="3E6A8F2B" w14:textId="77777777" w:rsidR="007D3A8D" w:rsidRPr="007D3A8D" w:rsidRDefault="007D3A8D" w:rsidP="007D3A8D"/>
              </w:tc>
            </w:tr>
          </w:tbl>
          <w:p w14:paraId="29DF64CE"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23FC07E2" w14:textId="77777777">
              <w:tc>
                <w:tcPr>
                  <w:tcW w:w="0" w:type="auto"/>
                  <w:tcMar>
                    <w:top w:w="270" w:type="dxa"/>
                    <w:left w:w="270" w:type="dxa"/>
                    <w:bottom w:w="270" w:type="dxa"/>
                    <w:right w:w="270" w:type="dxa"/>
                  </w:tcMar>
                  <w:vAlign w:val="center"/>
                  <w:hideMark/>
                </w:tcPr>
                <w:p w14:paraId="6F6BC0B1" w14:textId="77777777" w:rsidR="007D3A8D" w:rsidRDefault="007D3A8D"/>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60"/>
                  </w:tblGrid>
                  <w:tr w:rsidR="007D3A8D" w:rsidRPr="007D3A8D" w14:paraId="5B8A5475" w14:textId="77777777" w:rsidTr="007D3A8D">
                    <w:tc>
                      <w:tcPr>
                        <w:tcW w:w="0" w:type="auto"/>
                        <w:vAlign w:val="center"/>
                      </w:tcPr>
                      <w:p w14:paraId="7A2AEB1B" w14:textId="77777777" w:rsidR="007D3A8D" w:rsidRPr="007D3A8D" w:rsidRDefault="007D3A8D" w:rsidP="007D3A8D"/>
                    </w:tc>
                  </w:tr>
                </w:tbl>
                <w:p w14:paraId="64D6EAD6" w14:textId="77777777" w:rsidR="007D3A8D" w:rsidRPr="007D3A8D" w:rsidRDefault="007D3A8D" w:rsidP="007D3A8D"/>
              </w:tc>
            </w:tr>
          </w:tbl>
          <w:p w14:paraId="16C73169"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448EEFFA"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7D3A8D" w:rsidRPr="007D3A8D" w14:paraId="2F263EAF" w14:textId="77777777">
                    <w:tc>
                      <w:tcPr>
                        <w:tcW w:w="0" w:type="auto"/>
                        <w:tcMar>
                          <w:top w:w="0" w:type="dxa"/>
                          <w:left w:w="135" w:type="dxa"/>
                          <w:bottom w:w="0" w:type="dxa"/>
                          <w:right w:w="135" w:type="dxa"/>
                        </w:tcMar>
                        <w:hideMark/>
                      </w:tcPr>
                      <w:p w14:paraId="72BF477B" w14:textId="7D103269" w:rsidR="007D3A8D" w:rsidRPr="007D3A8D" w:rsidRDefault="007D3A8D" w:rsidP="007D3A8D">
                        <w:pPr>
                          <w:jc w:val="center"/>
                        </w:pPr>
                        <w:r w:rsidRPr="007D3A8D">
                          <w:rPr>
                            <w:noProof/>
                          </w:rPr>
                          <w:lastRenderedPageBreak/>
                          <w:drawing>
                            <wp:inline distT="0" distB="0" distL="0" distR="0" wp14:anchorId="391A0941" wp14:editId="151BE85A">
                              <wp:extent cx="1752600" cy="1307495"/>
                              <wp:effectExtent l="0" t="0" r="0" b="6985"/>
                              <wp:docPr id="1024366911" name="Picture 10" descr="A graph with a red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66911" name="Picture 10" descr="A graph with a red arrow&#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5936" cy="1309984"/>
                                      </a:xfrm>
                                      <a:prstGeom prst="rect">
                                        <a:avLst/>
                                      </a:prstGeom>
                                      <a:noFill/>
                                      <a:ln>
                                        <a:noFill/>
                                      </a:ln>
                                    </pic:spPr>
                                  </pic:pic>
                                </a:graphicData>
                              </a:graphic>
                            </wp:inline>
                          </w:drawing>
                        </w:r>
                      </w:p>
                    </w:tc>
                  </w:tr>
                </w:tbl>
                <w:p w14:paraId="693F82EF" w14:textId="77777777" w:rsidR="007D3A8D" w:rsidRPr="007D3A8D" w:rsidRDefault="007D3A8D" w:rsidP="007D3A8D"/>
              </w:tc>
            </w:tr>
          </w:tbl>
          <w:p w14:paraId="3A992BE7"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5520D42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7D3A8D" w:rsidRPr="007D3A8D" w14:paraId="5A1C6C34" w14:textId="77777777">
                    <w:tc>
                      <w:tcPr>
                        <w:tcW w:w="0" w:type="auto"/>
                        <w:tcMar>
                          <w:top w:w="0" w:type="dxa"/>
                          <w:left w:w="270" w:type="dxa"/>
                          <w:bottom w:w="135" w:type="dxa"/>
                          <w:right w:w="270" w:type="dxa"/>
                        </w:tcMar>
                        <w:hideMark/>
                      </w:tcPr>
                      <w:p w14:paraId="21360DD8" w14:textId="77777777" w:rsidR="007D3A8D" w:rsidRPr="007D3A8D" w:rsidRDefault="007D3A8D" w:rsidP="007D3A8D">
                        <w:pPr>
                          <w:jc w:val="center"/>
                          <w:rPr>
                            <w:sz w:val="28"/>
                            <w:szCs w:val="28"/>
                          </w:rPr>
                        </w:pPr>
                        <w:r w:rsidRPr="007D3A8D">
                          <w:rPr>
                            <w:b/>
                            <w:bCs/>
                            <w:sz w:val="28"/>
                            <w:szCs w:val="28"/>
                          </w:rPr>
                          <w:t>Summary of WRC Annual Report 2024</w:t>
                        </w:r>
                      </w:p>
                      <w:p w14:paraId="31BDD18A" w14:textId="77777777" w:rsidR="007D3A8D" w:rsidRPr="007D3A8D" w:rsidRDefault="007D3A8D" w:rsidP="007D3A8D">
                        <w:r w:rsidRPr="007D3A8D">
                          <w:t>The Workplace Relations Commission (WRC)</w:t>
                        </w:r>
                        <w:r w:rsidRPr="007D3A8D">
                          <w:br/>
                          <w:t>recovered €2.1m in unpaid wages last year after completing 5,156 inspections, according to its annual report.</w:t>
                        </w:r>
                        <w:r w:rsidRPr="007D3A8D">
                          <w:br/>
                        </w:r>
                        <w:r w:rsidRPr="007D3A8D">
                          <w:br/>
                          <w:t>Employers in the food service, beauty and retail sectors had the highest number of breaches.</w:t>
                        </w:r>
                        <w:r w:rsidRPr="007D3A8D">
                          <w:br/>
                        </w:r>
                        <w:r w:rsidRPr="007D3A8D">
                          <w:br/>
                        </w:r>
                        <w:r w:rsidRPr="007D3A8D">
                          <w:rPr>
                            <w:b/>
                            <w:bCs/>
                          </w:rPr>
                          <w:t>Overall, there was an increase (18pc) in the number of complaints to the WRC in 2024.</w:t>
                        </w:r>
                        <w:r w:rsidRPr="007D3A8D">
                          <w:br/>
                          <w:t>The commission received 7,316 applications representing 14,890 individual complaints. Some of the most prevalent issues were pay , unfair dismissals , discrimination, working time and terms of employment.</w:t>
                        </w:r>
                        <w:r w:rsidRPr="007D3A8D">
                          <w:br/>
                        </w:r>
                        <w:r w:rsidRPr="007D3A8D">
                          <w:br/>
                          <w:t>Over the past three years, there has been an increase in employer inspections and breaches of employment law obligations.</w:t>
                        </w:r>
                        <w:r w:rsidRPr="007D3A8D">
                          <w:br/>
                          <w:t>Last year, 5,156 employers were inspected, compared to 4,727 in 2023 and 3,943 the year before.</w:t>
                        </w:r>
                        <w:r w:rsidRPr="007D3A8D">
                          <w:br/>
                        </w:r>
                        <w:r w:rsidRPr="007D3A8D">
                          <w:br/>
                          <w:t>The report said there was high demand for the commission’s services, with 59,400 calls to its information phone lines and over 4m website views.</w:t>
                        </w:r>
                        <w:r w:rsidRPr="007D3A8D">
                          <w:br/>
                          <w:t>There was also a rise (6pc) in the number of adjudication hearings. In total, 9,054 hearings took place, an average of 180 per week.</w:t>
                        </w:r>
                        <w:r w:rsidRPr="007D3A8D">
                          <w:br/>
                          <w:t xml:space="preserve">In total, 77 employers were convicted for breaches of employment law. The majority are involved in the food service industry. Successful prosecutions were up 27pc </w:t>
                        </w:r>
                        <w:proofErr w:type="gramStart"/>
                        <w:r w:rsidRPr="007D3A8D">
                          <w:t>on</w:t>
                        </w:r>
                        <w:proofErr w:type="gramEnd"/>
                        <w:r w:rsidRPr="007D3A8D">
                          <w:t xml:space="preserve"> 2023.</w:t>
                        </w:r>
                        <w:r w:rsidRPr="007D3A8D">
                          <w:br/>
                          <w:t> </w:t>
                        </w:r>
                      </w:p>
                    </w:tc>
                  </w:tr>
                </w:tbl>
                <w:p w14:paraId="0F6FF543" w14:textId="77777777" w:rsidR="007D3A8D" w:rsidRPr="007D3A8D" w:rsidRDefault="007D3A8D" w:rsidP="007D3A8D"/>
              </w:tc>
            </w:tr>
          </w:tbl>
          <w:p w14:paraId="677864BD" w14:textId="77777777" w:rsidR="007D3A8D" w:rsidRPr="007D3A8D" w:rsidRDefault="007D3A8D" w:rsidP="007D3A8D">
            <w:pPr>
              <w:rPr>
                <w:vanish/>
              </w:rPr>
            </w:pPr>
          </w:p>
          <w:tbl>
            <w:tblPr>
              <w:tblW w:w="5000" w:type="pct"/>
              <w:tblCellMar>
                <w:left w:w="0" w:type="dxa"/>
                <w:right w:w="0" w:type="dxa"/>
              </w:tblCellMar>
              <w:tblLook w:val="04A0" w:firstRow="1" w:lastRow="0" w:firstColumn="1" w:lastColumn="0" w:noHBand="0" w:noVBand="1"/>
            </w:tblPr>
            <w:tblGrid>
              <w:gridCol w:w="9000"/>
            </w:tblGrid>
            <w:tr w:rsidR="007D3A8D" w:rsidRPr="007D3A8D" w14:paraId="6275D6A2"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7D3A8D" w:rsidRPr="007D3A8D" w14:paraId="15B494D5" w14:textId="77777777">
                    <w:tc>
                      <w:tcPr>
                        <w:tcW w:w="0" w:type="auto"/>
                        <w:tcMar>
                          <w:top w:w="135" w:type="dxa"/>
                          <w:left w:w="270" w:type="dxa"/>
                          <w:bottom w:w="135" w:type="dxa"/>
                          <w:right w:w="270" w:type="dxa"/>
                        </w:tcMar>
                        <w:vAlign w:val="center"/>
                        <w:hideMark/>
                      </w:tcPr>
                      <w:tbl>
                        <w:tblPr>
                          <w:tblW w:w="5000" w:type="pct"/>
                          <w:shd w:val="clear" w:color="auto" w:fill="A63838"/>
                          <w:tblCellMar>
                            <w:top w:w="15" w:type="dxa"/>
                            <w:left w:w="15" w:type="dxa"/>
                            <w:bottom w:w="15" w:type="dxa"/>
                            <w:right w:w="15" w:type="dxa"/>
                          </w:tblCellMar>
                          <w:tblLook w:val="04A0" w:firstRow="1" w:lastRow="0" w:firstColumn="1" w:lastColumn="0" w:noHBand="0" w:noVBand="1"/>
                        </w:tblPr>
                        <w:tblGrid>
                          <w:gridCol w:w="8460"/>
                        </w:tblGrid>
                        <w:tr w:rsidR="007D3A8D" w:rsidRPr="007D3A8D" w14:paraId="531C8778" w14:textId="77777777">
                          <w:tc>
                            <w:tcPr>
                              <w:tcW w:w="0" w:type="auto"/>
                              <w:shd w:val="clear" w:color="auto" w:fill="A63838"/>
                              <w:tcMar>
                                <w:top w:w="270" w:type="dxa"/>
                                <w:left w:w="270" w:type="dxa"/>
                                <w:bottom w:w="270" w:type="dxa"/>
                                <w:right w:w="270" w:type="dxa"/>
                              </w:tcMar>
                              <w:hideMark/>
                            </w:tcPr>
                            <w:p w14:paraId="10BD8ED0" w14:textId="77777777" w:rsidR="007D3A8D" w:rsidRPr="007D3A8D" w:rsidRDefault="007D3A8D" w:rsidP="007D3A8D">
                              <w:pPr>
                                <w:jc w:val="center"/>
                              </w:pPr>
                              <w:r w:rsidRPr="007D3A8D">
                                <w:t>Please call us for a chat on any issue</w:t>
                              </w:r>
                              <w:r w:rsidRPr="007D3A8D">
                                <w:br/>
                              </w:r>
                              <w:r w:rsidRPr="007D3A8D">
                                <w:br/>
                                <w:t>Dermot 086 8436361</w:t>
                              </w:r>
                              <w:r w:rsidRPr="007D3A8D">
                                <w:br/>
                                <w:t>dermot@ddhrsupportandadvice.com</w:t>
                              </w:r>
                              <w:r w:rsidRPr="007D3A8D">
                                <w:br/>
                              </w:r>
                              <w:r w:rsidRPr="007D3A8D">
                                <w:br/>
                              </w:r>
                              <w:proofErr w:type="gramStart"/>
                              <w:r w:rsidRPr="007D3A8D">
                                <w:t>Marie  085</w:t>
                              </w:r>
                              <w:proofErr w:type="gramEnd"/>
                              <w:r w:rsidRPr="007D3A8D">
                                <w:t xml:space="preserve"> 1736722</w:t>
                              </w:r>
                              <w:r w:rsidRPr="007D3A8D">
                                <w:br/>
                                <w:t>marie@ddhrsupportandadvice.net</w:t>
                              </w:r>
                            </w:p>
                          </w:tc>
                        </w:tr>
                      </w:tbl>
                      <w:p w14:paraId="0885F27F" w14:textId="77777777" w:rsidR="007D3A8D" w:rsidRPr="007D3A8D" w:rsidRDefault="007D3A8D" w:rsidP="007D3A8D"/>
                    </w:tc>
                  </w:tr>
                </w:tbl>
                <w:p w14:paraId="4BBE66AD" w14:textId="77777777" w:rsidR="007D3A8D" w:rsidRPr="007D3A8D" w:rsidRDefault="007D3A8D" w:rsidP="007D3A8D"/>
              </w:tc>
            </w:tr>
          </w:tbl>
          <w:p w14:paraId="5DB7F23F" w14:textId="77777777" w:rsidR="007D3A8D" w:rsidRPr="007D3A8D" w:rsidRDefault="007D3A8D" w:rsidP="007D3A8D"/>
        </w:tc>
      </w:tr>
      <w:tr w:rsidR="007D3A8D" w:rsidRPr="007D3A8D" w14:paraId="75844BAB" w14:textId="77777777" w:rsidTr="007D3A8D">
        <w:tc>
          <w:tcPr>
            <w:tcW w:w="0" w:type="auto"/>
            <w:tcBorders>
              <w:top w:val="nil"/>
              <w:bottom w:val="nil"/>
            </w:tcBorders>
            <w:shd w:val="clear" w:color="auto" w:fill="FAFAFA"/>
            <w:tcMar>
              <w:top w:w="135" w:type="dxa"/>
              <w:left w:w="0" w:type="dxa"/>
              <w:bottom w:w="135" w:type="dxa"/>
              <w:right w:w="0" w:type="dxa"/>
            </w:tcMar>
          </w:tcPr>
          <w:tbl>
            <w:tblPr>
              <w:tblW w:w="5000" w:type="pct"/>
              <w:tblCellMar>
                <w:left w:w="0" w:type="dxa"/>
                <w:right w:w="0" w:type="dxa"/>
              </w:tblCellMar>
              <w:tblLook w:val="04A0" w:firstRow="1" w:lastRow="0" w:firstColumn="1" w:lastColumn="0" w:noHBand="0" w:noVBand="1"/>
            </w:tblPr>
            <w:tblGrid>
              <w:gridCol w:w="9000"/>
            </w:tblGrid>
            <w:tr w:rsidR="00D00009" w:rsidRPr="00571D7B" w14:paraId="000EBD11" w14:textId="77777777" w:rsidTr="003C42C6">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00009" w:rsidRPr="00571D7B" w14:paraId="41865269" w14:textId="77777777" w:rsidTr="003C42C6">
                    <w:tc>
                      <w:tcPr>
                        <w:tcW w:w="0" w:type="auto"/>
                        <w:tcMar>
                          <w:top w:w="0" w:type="dxa"/>
                          <w:left w:w="270" w:type="dxa"/>
                          <w:bottom w:w="135" w:type="dxa"/>
                          <w:right w:w="270" w:type="dxa"/>
                        </w:tcMar>
                        <w:hideMark/>
                      </w:tcPr>
                      <w:p w14:paraId="4EEBA784" w14:textId="77777777" w:rsidR="00D00009" w:rsidRPr="00571D7B" w:rsidRDefault="00D00009" w:rsidP="00D00009">
                        <w:pPr>
                          <w:jc w:val="center"/>
                        </w:pPr>
                        <w:r w:rsidRPr="00571D7B">
                          <w:lastRenderedPageBreak/>
                          <w:t>Please forward and share this newsletter with your colleagues and friends</w:t>
                        </w:r>
                      </w:p>
                    </w:tc>
                  </w:tr>
                </w:tbl>
                <w:p w14:paraId="59146FB8" w14:textId="77777777" w:rsidR="00D00009" w:rsidRPr="00571D7B" w:rsidRDefault="00D00009" w:rsidP="00D00009"/>
              </w:tc>
            </w:tr>
          </w:tbl>
          <w:p w14:paraId="5077D2C6" w14:textId="77777777" w:rsidR="00D00009" w:rsidRPr="00571D7B" w:rsidRDefault="00D00009" w:rsidP="00D00009">
            <w:pPr>
              <w:rPr>
                <w:vanish/>
              </w:rPr>
            </w:pPr>
          </w:p>
          <w:tbl>
            <w:tblPr>
              <w:tblW w:w="5000" w:type="pct"/>
              <w:tblCellMar>
                <w:left w:w="0" w:type="dxa"/>
                <w:right w:w="0" w:type="dxa"/>
              </w:tblCellMar>
              <w:tblLook w:val="04A0" w:firstRow="1" w:lastRow="0" w:firstColumn="1" w:lastColumn="0" w:noHBand="0" w:noVBand="1"/>
            </w:tblPr>
            <w:tblGrid>
              <w:gridCol w:w="9000"/>
            </w:tblGrid>
            <w:tr w:rsidR="00D00009" w:rsidRPr="00571D7B" w14:paraId="77CE1063" w14:textId="77777777" w:rsidTr="003C42C6">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460"/>
                  </w:tblGrid>
                  <w:tr w:rsidR="00D00009" w:rsidRPr="00571D7B" w14:paraId="1A05C890" w14:textId="77777777" w:rsidTr="003C42C6">
                    <w:tc>
                      <w:tcPr>
                        <w:tcW w:w="0" w:type="auto"/>
                        <w:vAlign w:val="center"/>
                        <w:hideMark/>
                      </w:tcPr>
                      <w:p w14:paraId="1FDDC61B" w14:textId="77777777" w:rsidR="00D00009" w:rsidRPr="00571D7B" w:rsidRDefault="00D00009" w:rsidP="00D00009"/>
                    </w:tc>
                  </w:tr>
                </w:tbl>
                <w:p w14:paraId="6AEBEC1D" w14:textId="77777777" w:rsidR="00D00009" w:rsidRPr="00571D7B" w:rsidRDefault="00D00009" w:rsidP="00D00009"/>
              </w:tc>
            </w:tr>
          </w:tbl>
          <w:p w14:paraId="3757AFE9" w14:textId="77777777" w:rsidR="00D00009" w:rsidRPr="00571D7B" w:rsidRDefault="00D00009" w:rsidP="00D00009">
            <w:pPr>
              <w:rPr>
                <w:vanish/>
              </w:rPr>
            </w:pPr>
          </w:p>
          <w:tbl>
            <w:tblPr>
              <w:tblW w:w="5000" w:type="pct"/>
              <w:tblCellMar>
                <w:left w:w="0" w:type="dxa"/>
                <w:right w:w="0" w:type="dxa"/>
              </w:tblCellMar>
              <w:tblLook w:val="04A0" w:firstRow="1" w:lastRow="0" w:firstColumn="1" w:lastColumn="0" w:noHBand="0" w:noVBand="1"/>
            </w:tblPr>
            <w:tblGrid>
              <w:gridCol w:w="9000"/>
            </w:tblGrid>
            <w:tr w:rsidR="00D00009" w:rsidRPr="00571D7B" w14:paraId="5697F2F9" w14:textId="77777777" w:rsidTr="003C42C6">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460"/>
                  </w:tblGrid>
                  <w:tr w:rsidR="00D00009" w:rsidRPr="00571D7B" w14:paraId="502D694B" w14:textId="77777777" w:rsidTr="003C42C6">
                    <w:tc>
                      <w:tcPr>
                        <w:tcW w:w="0" w:type="auto"/>
                        <w:vAlign w:val="center"/>
                        <w:hideMark/>
                      </w:tcPr>
                      <w:p w14:paraId="3A04408E" w14:textId="77777777" w:rsidR="00D00009" w:rsidRPr="00571D7B" w:rsidRDefault="00D00009" w:rsidP="00D00009"/>
                    </w:tc>
                  </w:tr>
                </w:tbl>
                <w:p w14:paraId="792D36B0" w14:textId="77777777" w:rsidR="00D00009" w:rsidRPr="00571D7B" w:rsidRDefault="00D00009" w:rsidP="00D00009"/>
              </w:tc>
            </w:tr>
          </w:tbl>
          <w:p w14:paraId="1E51302C" w14:textId="77777777" w:rsidR="00D00009" w:rsidRPr="00571D7B" w:rsidRDefault="00D00009" w:rsidP="00D00009">
            <w:pPr>
              <w:rPr>
                <w:vanish/>
              </w:rPr>
            </w:pPr>
          </w:p>
          <w:tbl>
            <w:tblPr>
              <w:tblW w:w="5000" w:type="pct"/>
              <w:tblCellMar>
                <w:left w:w="0" w:type="dxa"/>
                <w:right w:w="0" w:type="dxa"/>
              </w:tblCellMar>
              <w:tblLook w:val="04A0" w:firstRow="1" w:lastRow="0" w:firstColumn="1" w:lastColumn="0" w:noHBand="0" w:noVBand="1"/>
            </w:tblPr>
            <w:tblGrid>
              <w:gridCol w:w="9000"/>
            </w:tblGrid>
            <w:tr w:rsidR="00D00009" w:rsidRPr="00571D7B" w14:paraId="70E96A02" w14:textId="77777777" w:rsidTr="003C42C6">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D00009" w:rsidRPr="00571D7B" w14:paraId="5E7F77DF" w14:textId="77777777" w:rsidTr="003C42C6">
                    <w:tc>
                      <w:tcPr>
                        <w:tcW w:w="0" w:type="auto"/>
                        <w:tcMar>
                          <w:top w:w="0" w:type="dxa"/>
                          <w:left w:w="270" w:type="dxa"/>
                          <w:bottom w:w="135" w:type="dxa"/>
                          <w:right w:w="270" w:type="dxa"/>
                        </w:tcMar>
                        <w:hideMark/>
                      </w:tcPr>
                      <w:p w14:paraId="2BB1C92C" w14:textId="77777777" w:rsidR="00D00009" w:rsidRPr="00571D7B" w:rsidRDefault="00D00009" w:rsidP="00D00009">
                        <w:pPr>
                          <w:jc w:val="center"/>
                        </w:pPr>
                        <w:r w:rsidRPr="00571D7B">
                          <w:rPr>
                            <w:i/>
                            <w:iCs/>
                          </w:rPr>
                          <w:t>Copyright © 2025*|DDHR|*, All rights reserved.</w:t>
                        </w:r>
                        <w:r w:rsidRPr="00571D7B">
                          <w:br/>
                        </w:r>
                        <w:r w:rsidRPr="00571D7B">
                          <w:br/>
                        </w:r>
                        <w:r w:rsidRPr="00571D7B">
                          <w:br/>
                        </w:r>
                        <w:r w:rsidRPr="00571D7B">
                          <w:rPr>
                            <w:b/>
                            <w:bCs/>
                          </w:rPr>
                          <w:t>Our mailing address is:</w:t>
                        </w:r>
                        <w:r w:rsidRPr="00571D7B">
                          <w:br/>
                          <w:t>dermot@supportandadvice.com</w:t>
                        </w:r>
                        <w:r w:rsidRPr="00571D7B">
                          <w:br/>
                        </w:r>
                        <w:r w:rsidRPr="00571D7B">
                          <w:br/>
                          <w:t>Want to change how you receive these emails?</w:t>
                        </w:r>
                        <w:r w:rsidRPr="00571D7B">
                          <w:br/>
                          <w:t>You can </w:t>
                        </w:r>
                        <w:hyperlink r:id="rId8" w:history="1">
                          <w:r w:rsidRPr="00571D7B">
                            <w:rPr>
                              <w:rStyle w:val="Hyperlink"/>
                            </w:rPr>
                            <w:t>update your preferences</w:t>
                          </w:r>
                        </w:hyperlink>
                        <w:r w:rsidRPr="00571D7B">
                          <w:t> or </w:t>
                        </w:r>
                        <w:hyperlink r:id="rId9" w:history="1">
                          <w:r w:rsidRPr="00571D7B">
                            <w:rPr>
                              <w:rStyle w:val="Hyperlink"/>
                            </w:rPr>
                            <w:t>unsubscribe from this list</w:t>
                          </w:r>
                        </w:hyperlink>
                        <w:r w:rsidRPr="00571D7B">
                          <w:t>.</w:t>
                        </w:r>
                        <w:r w:rsidRPr="00571D7B">
                          <w:br/>
                        </w:r>
                        <w:r w:rsidRPr="00571D7B">
                          <w:br/>
                        </w:r>
                      </w:p>
                    </w:tc>
                  </w:tr>
                </w:tbl>
                <w:p w14:paraId="5B268C83" w14:textId="77777777" w:rsidR="00D00009" w:rsidRPr="00571D7B" w:rsidRDefault="00D00009" w:rsidP="00D00009"/>
              </w:tc>
            </w:tr>
          </w:tbl>
          <w:p w14:paraId="50F22BB9" w14:textId="77777777" w:rsidR="007D3A8D" w:rsidRPr="007D3A8D" w:rsidRDefault="007D3A8D" w:rsidP="007D3A8D"/>
        </w:tc>
      </w:tr>
    </w:tbl>
    <w:p w14:paraId="506DBB52" w14:textId="77777777" w:rsidR="004025C9" w:rsidRDefault="004025C9"/>
    <w:sectPr w:rsidR="00402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A8D"/>
    <w:rsid w:val="004025C9"/>
    <w:rsid w:val="005379B5"/>
    <w:rsid w:val="007D3A8D"/>
    <w:rsid w:val="00B76799"/>
    <w:rsid w:val="00D0000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15980"/>
  <w15:chartTrackingRefBased/>
  <w15:docId w15:val="{90DE1FFF-A75B-4299-9C8E-B62AE8A46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A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A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A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A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A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A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A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A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A8D"/>
    <w:rPr>
      <w:rFonts w:eastAsiaTheme="majorEastAsia" w:cstheme="majorBidi"/>
      <w:color w:val="272727" w:themeColor="text1" w:themeTint="D8"/>
    </w:rPr>
  </w:style>
  <w:style w:type="paragraph" w:styleId="Title">
    <w:name w:val="Title"/>
    <w:basedOn w:val="Normal"/>
    <w:next w:val="Normal"/>
    <w:link w:val="TitleChar"/>
    <w:uiPriority w:val="10"/>
    <w:qFormat/>
    <w:rsid w:val="007D3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A8D"/>
    <w:pPr>
      <w:spacing w:before="160"/>
      <w:jc w:val="center"/>
    </w:pPr>
    <w:rPr>
      <w:i/>
      <w:iCs/>
      <w:color w:val="404040" w:themeColor="text1" w:themeTint="BF"/>
    </w:rPr>
  </w:style>
  <w:style w:type="character" w:customStyle="1" w:styleId="QuoteChar">
    <w:name w:val="Quote Char"/>
    <w:basedOn w:val="DefaultParagraphFont"/>
    <w:link w:val="Quote"/>
    <w:uiPriority w:val="29"/>
    <w:rsid w:val="007D3A8D"/>
    <w:rPr>
      <w:i/>
      <w:iCs/>
      <w:color w:val="404040" w:themeColor="text1" w:themeTint="BF"/>
    </w:rPr>
  </w:style>
  <w:style w:type="paragraph" w:styleId="ListParagraph">
    <w:name w:val="List Paragraph"/>
    <w:basedOn w:val="Normal"/>
    <w:uiPriority w:val="34"/>
    <w:qFormat/>
    <w:rsid w:val="007D3A8D"/>
    <w:pPr>
      <w:ind w:left="720"/>
      <w:contextualSpacing/>
    </w:pPr>
  </w:style>
  <w:style w:type="character" w:styleId="IntenseEmphasis">
    <w:name w:val="Intense Emphasis"/>
    <w:basedOn w:val="DefaultParagraphFont"/>
    <w:uiPriority w:val="21"/>
    <w:qFormat/>
    <w:rsid w:val="007D3A8D"/>
    <w:rPr>
      <w:i/>
      <w:iCs/>
      <w:color w:val="0F4761" w:themeColor="accent1" w:themeShade="BF"/>
    </w:rPr>
  </w:style>
  <w:style w:type="paragraph" w:styleId="IntenseQuote">
    <w:name w:val="Intense Quote"/>
    <w:basedOn w:val="Normal"/>
    <w:next w:val="Normal"/>
    <w:link w:val="IntenseQuoteChar"/>
    <w:uiPriority w:val="30"/>
    <w:qFormat/>
    <w:rsid w:val="007D3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A8D"/>
    <w:rPr>
      <w:i/>
      <w:iCs/>
      <w:color w:val="0F4761" w:themeColor="accent1" w:themeShade="BF"/>
    </w:rPr>
  </w:style>
  <w:style w:type="character" w:styleId="IntenseReference">
    <w:name w:val="Intense Reference"/>
    <w:basedOn w:val="DefaultParagraphFont"/>
    <w:uiPriority w:val="32"/>
    <w:qFormat/>
    <w:rsid w:val="007D3A8D"/>
    <w:rPr>
      <w:b/>
      <w:bCs/>
      <w:smallCaps/>
      <w:color w:val="0F4761" w:themeColor="accent1" w:themeShade="BF"/>
      <w:spacing w:val="5"/>
    </w:rPr>
  </w:style>
  <w:style w:type="character" w:styleId="Hyperlink">
    <w:name w:val="Hyperlink"/>
    <w:basedOn w:val="DefaultParagraphFont"/>
    <w:uiPriority w:val="99"/>
    <w:unhideWhenUsed/>
    <w:rsid w:val="007D3A8D"/>
    <w:rPr>
      <w:color w:val="467886" w:themeColor="hyperlink"/>
      <w:u w:val="single"/>
    </w:rPr>
  </w:style>
  <w:style w:type="character" w:styleId="UnresolvedMention">
    <w:name w:val="Unresolved Mention"/>
    <w:basedOn w:val="DefaultParagraphFont"/>
    <w:uiPriority w:val="99"/>
    <w:semiHidden/>
    <w:unhideWhenUsed/>
    <w:rsid w:val="007D3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91754">
      <w:bodyDiv w:val="1"/>
      <w:marLeft w:val="0"/>
      <w:marRight w:val="0"/>
      <w:marTop w:val="0"/>
      <w:marBottom w:val="0"/>
      <w:divBdr>
        <w:top w:val="none" w:sz="0" w:space="0" w:color="auto"/>
        <w:left w:val="none" w:sz="0" w:space="0" w:color="auto"/>
        <w:bottom w:val="none" w:sz="0" w:space="0" w:color="auto"/>
        <w:right w:val="none" w:sz="0" w:space="0" w:color="auto"/>
      </w:divBdr>
    </w:div>
    <w:div w:id="80211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hrsupportandadvice.us5.list-manage.com/profile?u=ad329ec92a7c357869905be7f&amp;id=aa52db04e1&amp;e=%5bUNIQID%5d&amp;c=58270c9bb9" TargetMode="Externa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mailto:dermot@ddhrsupportandadvice.com?subject=Newsletter%20article"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ddhrsupportandadvice.us5.list-manage.com/unsubscribe?u=ad329ec92a7c357869905be7f&amp;id=aa52db04e1&amp;t=b&amp;e=%5bUNIQID%5d&amp;c=58270c9b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1204</Words>
  <Characters>6867</Characters>
  <Application>Microsoft Office Word</Application>
  <DocSecurity>0</DocSecurity>
  <Lines>57</Lines>
  <Paragraphs>16</Paragraphs>
  <ScaleCrop>false</ScaleCrop>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O Donohue</dc:creator>
  <cp:keywords/>
  <dc:description/>
  <cp:lastModifiedBy>Marie O Donohue</cp:lastModifiedBy>
  <cp:revision>2</cp:revision>
  <dcterms:created xsi:type="dcterms:W3CDTF">2025-07-15T11:55:00Z</dcterms:created>
  <dcterms:modified xsi:type="dcterms:W3CDTF">2025-07-15T15:10:00Z</dcterms:modified>
</cp:coreProperties>
</file>